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86" w:rsidRDefault="00711790">
      <w:pPr>
        <w:spacing w:line="220" w:lineRule="atLeast"/>
        <w:jc w:val="center"/>
        <w:rPr>
          <w:sz w:val="44"/>
          <w:szCs w:val="44"/>
        </w:rPr>
      </w:pPr>
      <w:r>
        <w:rPr>
          <w:rFonts w:ascii="方正小标宋_GBK" w:eastAsia="方正小标宋_GBK" w:hAnsi="方正小标宋_GBK" w:cs="方正小标宋_GBK" w:hint="eastAsia"/>
          <w:sz w:val="44"/>
          <w:szCs w:val="44"/>
        </w:rPr>
        <w:t>询</w:t>
      </w:r>
      <w:r>
        <w:rPr>
          <w:rFonts w:ascii="方正小标宋_GBK" w:eastAsia="方正小标宋_GBK" w:hAnsi="方正小标宋_GBK" w:cs="方正小标宋_GBK"/>
          <w:sz w:val="44"/>
          <w:szCs w:val="44"/>
        </w:rPr>
        <w:t xml:space="preserve">  价  函</w:t>
      </w:r>
    </w:p>
    <w:p w:rsidR="00F16C86" w:rsidRDefault="0071179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各受邀报价单位：</w:t>
      </w:r>
    </w:p>
    <w:p w:rsidR="00F16C86" w:rsidRDefault="00B42D77">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根据有关规定，现对信息交流无障碍</w:t>
      </w:r>
      <w:r w:rsidR="00711790">
        <w:rPr>
          <w:rFonts w:ascii="仿宋_GB2312" w:eastAsia="仿宋_GB2312" w:hAnsi="仿宋_GB2312" w:cs="仿宋_GB2312" w:hint="eastAsia"/>
          <w:sz w:val="32"/>
          <w:szCs w:val="32"/>
        </w:rPr>
        <w:t>项目进行询价采购，请按以下要求于</w:t>
      </w:r>
      <w:r w:rsidR="001A2875">
        <w:rPr>
          <w:rFonts w:ascii="仿宋_GB2312" w:eastAsia="仿宋_GB2312" w:hAnsi="仿宋_GB2312" w:cs="仿宋_GB2312" w:hint="eastAsia"/>
          <w:sz w:val="32"/>
          <w:szCs w:val="32"/>
        </w:rPr>
        <w:t>2021</w:t>
      </w:r>
      <w:r w:rsidR="00711790">
        <w:rPr>
          <w:rFonts w:ascii="仿宋_GB2312" w:eastAsia="仿宋_GB2312" w:hAnsi="仿宋_GB2312" w:cs="仿宋_GB2312" w:hint="eastAsia"/>
          <w:sz w:val="32"/>
          <w:szCs w:val="32"/>
        </w:rPr>
        <w:t>年</w:t>
      </w:r>
      <w:r w:rsidR="001A2875">
        <w:rPr>
          <w:rFonts w:ascii="仿宋_GB2312" w:eastAsia="仿宋_GB2312" w:hAnsi="仿宋_GB2312" w:cs="仿宋_GB2312" w:hint="eastAsia"/>
          <w:sz w:val="32"/>
          <w:szCs w:val="32"/>
        </w:rPr>
        <w:t>6</w:t>
      </w:r>
      <w:r w:rsidR="00711790">
        <w:rPr>
          <w:rFonts w:ascii="仿宋_GB2312" w:eastAsia="仿宋_GB2312" w:hAnsi="仿宋_GB2312" w:cs="仿宋_GB2312"/>
          <w:sz w:val="32"/>
          <w:szCs w:val="32"/>
        </w:rPr>
        <w:t>月</w:t>
      </w:r>
      <w:r w:rsidR="00406F40">
        <w:rPr>
          <w:rFonts w:ascii="仿宋_GB2312" w:eastAsia="仿宋_GB2312" w:hAnsi="仿宋_GB2312" w:cs="仿宋_GB2312"/>
          <w:sz w:val="32"/>
          <w:szCs w:val="32"/>
        </w:rPr>
        <w:t>8</w:t>
      </w:r>
      <w:r w:rsidR="00711790">
        <w:rPr>
          <w:rFonts w:ascii="仿宋_GB2312" w:eastAsia="仿宋_GB2312" w:hAnsi="仿宋_GB2312" w:cs="仿宋_GB2312"/>
          <w:sz w:val="32"/>
          <w:szCs w:val="32"/>
        </w:rPr>
        <w:t>日</w:t>
      </w:r>
      <w:r w:rsidR="00711790">
        <w:rPr>
          <w:rFonts w:ascii="仿宋_GB2312" w:eastAsia="仿宋_GB2312" w:hAnsi="仿宋_GB2312" w:cs="仿宋_GB2312" w:hint="eastAsia"/>
          <w:sz w:val="32"/>
          <w:szCs w:val="32"/>
        </w:rPr>
        <w:t>下午</w:t>
      </w:r>
      <w:r w:rsidR="001A2875">
        <w:rPr>
          <w:rFonts w:ascii="仿宋_GB2312" w:eastAsia="仿宋_GB2312" w:hAnsi="仿宋_GB2312" w:cs="仿宋_GB2312" w:hint="eastAsia"/>
          <w:sz w:val="32"/>
          <w:szCs w:val="32"/>
        </w:rPr>
        <w:t>14时</w:t>
      </w:r>
      <w:r w:rsidR="00711790">
        <w:rPr>
          <w:rFonts w:ascii="仿宋_GB2312" w:eastAsia="仿宋_GB2312" w:hAnsi="仿宋_GB2312" w:cs="仿宋_GB2312" w:hint="eastAsia"/>
          <w:sz w:val="32"/>
          <w:szCs w:val="32"/>
        </w:rPr>
        <w:t>前将整理方案和报价文件密封送至</w:t>
      </w:r>
      <w:r w:rsidR="001A2875">
        <w:rPr>
          <w:rFonts w:ascii="仿宋_GB2312" w:eastAsia="仿宋_GB2312" w:hAnsi="仿宋_GB2312" w:cs="仿宋_GB2312" w:hint="eastAsia"/>
          <w:sz w:val="32"/>
          <w:szCs w:val="32"/>
        </w:rPr>
        <w:t>市民中心E座</w:t>
      </w:r>
      <w:r w:rsidR="001A2875">
        <w:rPr>
          <w:rFonts w:ascii="仿宋_GB2312" w:eastAsia="仿宋_GB2312" w:hAnsi="仿宋_GB2312" w:cs="仿宋_GB2312"/>
          <w:sz w:val="32"/>
          <w:szCs w:val="32"/>
        </w:rPr>
        <w:t>901</w:t>
      </w:r>
      <w:r w:rsidR="00711790">
        <w:rPr>
          <w:rFonts w:ascii="仿宋_GB2312" w:eastAsia="仿宋_GB2312" w:hAnsi="仿宋_GB2312" w:cs="仿宋_GB2312" w:hint="eastAsia"/>
          <w:sz w:val="32"/>
          <w:szCs w:val="32"/>
        </w:rPr>
        <w:t>会议室，进行询价开标会议，联系电话：</w:t>
      </w:r>
      <w:r w:rsidR="001A2875">
        <w:rPr>
          <w:rFonts w:ascii="仿宋_GB2312" w:eastAsia="仿宋_GB2312" w:hAnsi="仿宋_GB2312" w:cs="仿宋_GB2312" w:hint="eastAsia"/>
          <w:sz w:val="32"/>
          <w:szCs w:val="32"/>
        </w:rPr>
        <w:t>85256942</w:t>
      </w:r>
      <w:r w:rsidR="00711790">
        <w:rPr>
          <w:rFonts w:ascii="仿宋_GB2312" w:eastAsia="仿宋_GB2312" w:hAnsi="仿宋_GB2312" w:cs="仿宋_GB2312" w:hint="eastAsia"/>
          <w:sz w:val="32"/>
          <w:szCs w:val="32"/>
        </w:rPr>
        <w:t>。基本情况及要求如下：</w:t>
      </w:r>
    </w:p>
    <w:p w:rsidR="00F16C86" w:rsidRDefault="00711790">
      <w:pPr>
        <w:pStyle w:val="2"/>
        <w:spacing w:after="0" w:line="560" w:lineRule="exact"/>
        <w:ind w:leftChars="0" w:left="0"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一、询价人</w:t>
      </w:r>
    </w:p>
    <w:p w:rsidR="00F16C86" w:rsidRDefault="00711790">
      <w:pPr>
        <w:pStyle w:val="2"/>
        <w:spacing w:after="0" w:line="560" w:lineRule="exact"/>
        <w:ind w:leftChars="0" w:left="0" w:firstLineChars="200" w:firstLine="640"/>
        <w:rPr>
          <w:rFonts w:ascii="仿宋_GB2312" w:eastAsia="仿宋_GB2312" w:hAnsi="仿宋_GB2312" w:cs="仿宋_GB2312"/>
          <w:sz w:val="32"/>
          <w:szCs w:val="32"/>
          <w:highlight w:val="yellow"/>
        </w:rPr>
      </w:pPr>
      <w:r w:rsidRPr="00140BF5">
        <w:rPr>
          <w:rFonts w:ascii="仿宋_GB2312" w:eastAsia="仿宋_GB2312" w:hAnsi="仿宋_GB2312" w:cs="仿宋_GB2312" w:hint="eastAsia"/>
          <w:sz w:val="32"/>
          <w:szCs w:val="32"/>
        </w:rPr>
        <w:t>杭州市</w:t>
      </w:r>
      <w:r w:rsidR="00140BF5">
        <w:rPr>
          <w:rFonts w:ascii="仿宋_GB2312" w:eastAsia="仿宋_GB2312" w:hAnsi="仿宋_GB2312" w:cs="仿宋_GB2312" w:hint="eastAsia"/>
          <w:sz w:val="32"/>
          <w:szCs w:val="32"/>
        </w:rPr>
        <w:t>农业农村局</w:t>
      </w:r>
    </w:p>
    <w:p w:rsidR="00F16C86" w:rsidRDefault="00711790">
      <w:pPr>
        <w:pStyle w:val="2"/>
        <w:spacing w:after="0" w:line="560" w:lineRule="exact"/>
        <w:ind w:leftChars="0" w:left="0" w:firstLineChars="200" w:firstLine="640"/>
        <w:rPr>
          <w:rFonts w:ascii="仿宋_GB2312" w:eastAsia="仿宋_GB2312" w:hAnsi="仿宋_GB2312" w:cs="仿宋_GB2312"/>
          <w:bCs/>
          <w:kern w:val="0"/>
          <w:sz w:val="32"/>
          <w:szCs w:val="32"/>
        </w:rPr>
      </w:pPr>
      <w:r>
        <w:rPr>
          <w:rFonts w:ascii="黑体" w:eastAsia="黑体" w:hAnsi="黑体" w:cs="黑体" w:hint="eastAsia"/>
          <w:bCs/>
          <w:kern w:val="0"/>
          <w:sz w:val="32"/>
          <w:szCs w:val="32"/>
        </w:rPr>
        <w:t>二、项目概况</w:t>
      </w:r>
    </w:p>
    <w:p w:rsidR="00F16C86" w:rsidRDefault="00711790">
      <w:pPr>
        <w:pStyle w:val="2"/>
        <w:spacing w:after="0" w:line="560" w:lineRule="exact"/>
        <w:ind w:leftChars="0" w:left="0" w:firstLineChars="200" w:firstLine="640"/>
        <w:rPr>
          <w:rFonts w:ascii="仿宋_GB2312" w:eastAsia="仿宋_GB2312" w:hAnsi="仿宋_GB2312" w:cs="仿宋_GB2312"/>
          <w:bCs/>
          <w:kern w:val="0"/>
          <w:sz w:val="32"/>
          <w:szCs w:val="32"/>
          <w:highlight w:val="yellow"/>
        </w:rPr>
      </w:pPr>
      <w:r>
        <w:rPr>
          <w:rFonts w:ascii="楷体_GB2312" w:eastAsia="楷体_GB2312" w:hAnsi="楷体_GB2312" w:cs="楷体_GB2312" w:hint="eastAsia"/>
          <w:bCs/>
          <w:kern w:val="0"/>
          <w:sz w:val="32"/>
          <w:szCs w:val="32"/>
        </w:rPr>
        <w:t>（一）项目名称：</w:t>
      </w:r>
      <w:r w:rsidRPr="00140BF5">
        <w:rPr>
          <w:rFonts w:ascii="仿宋_GB2312" w:eastAsia="仿宋_GB2312" w:hAnsi="仿宋_GB2312" w:cs="仿宋_GB2312" w:hint="eastAsia"/>
          <w:sz w:val="32"/>
          <w:szCs w:val="32"/>
        </w:rPr>
        <w:t>杭州市</w:t>
      </w:r>
      <w:r w:rsidR="00140BF5">
        <w:rPr>
          <w:rFonts w:ascii="仿宋_GB2312" w:eastAsia="仿宋_GB2312" w:hAnsi="仿宋_GB2312" w:cs="仿宋_GB2312" w:hint="eastAsia"/>
          <w:sz w:val="32"/>
          <w:szCs w:val="32"/>
        </w:rPr>
        <w:t>农业农村局</w:t>
      </w:r>
      <w:r w:rsidRPr="00140BF5">
        <w:rPr>
          <w:rFonts w:ascii="仿宋_GB2312" w:eastAsia="仿宋_GB2312" w:hAnsi="仿宋_GB2312" w:cs="仿宋_GB2312" w:hint="eastAsia"/>
          <w:sz w:val="32"/>
          <w:szCs w:val="32"/>
        </w:rPr>
        <w:t>信息交流无障碍项目</w:t>
      </w:r>
    </w:p>
    <w:p w:rsidR="00F16C86" w:rsidRDefault="00711790">
      <w:pPr>
        <w:pStyle w:val="2"/>
        <w:spacing w:after="0" w:line="560" w:lineRule="exact"/>
        <w:ind w:leftChars="0" w:left="0" w:firstLineChars="200" w:firstLine="640"/>
        <w:rPr>
          <w:rFonts w:ascii="仿宋_GB2312" w:eastAsia="仿宋_GB2312" w:hAnsi="仿宋_GB2312" w:cs="仿宋_GB2312"/>
          <w:bCs/>
          <w:kern w:val="0"/>
          <w:sz w:val="32"/>
          <w:szCs w:val="32"/>
        </w:rPr>
      </w:pPr>
      <w:r>
        <w:rPr>
          <w:rFonts w:ascii="楷体_GB2312" w:eastAsia="楷体_GB2312" w:hAnsi="楷体_GB2312" w:cs="楷体_GB2312" w:hint="eastAsia"/>
          <w:bCs/>
          <w:kern w:val="0"/>
          <w:sz w:val="32"/>
          <w:szCs w:val="32"/>
        </w:rPr>
        <w:t>（二）服务地点：</w:t>
      </w:r>
      <w:r>
        <w:rPr>
          <w:rFonts w:ascii="仿宋_GB2312" w:eastAsia="仿宋_GB2312" w:hAnsi="仿宋_GB2312" w:cs="仿宋_GB2312" w:hint="eastAsia"/>
          <w:bCs/>
          <w:kern w:val="0"/>
          <w:sz w:val="32"/>
          <w:szCs w:val="32"/>
        </w:rPr>
        <w:t>杭州。</w:t>
      </w:r>
    </w:p>
    <w:p w:rsidR="00F16C86" w:rsidRDefault="00711790">
      <w:pPr>
        <w:pStyle w:val="2"/>
        <w:spacing w:after="0" w:line="560" w:lineRule="exact"/>
        <w:ind w:leftChars="0" w:left="0" w:firstLineChars="200" w:firstLine="640"/>
        <w:rPr>
          <w:rFonts w:ascii="仿宋_GB2312" w:eastAsia="仿宋_GB2312" w:hAnsi="仿宋_GB2312" w:cs="仿宋_GB2312"/>
          <w:bCs/>
          <w:kern w:val="0"/>
          <w:sz w:val="32"/>
          <w:szCs w:val="32"/>
        </w:rPr>
      </w:pPr>
      <w:r>
        <w:rPr>
          <w:rFonts w:ascii="楷体_GB2312" w:eastAsia="楷体_GB2312" w:hAnsi="楷体_GB2312" w:cs="楷体_GB2312" w:hint="eastAsia"/>
          <w:bCs/>
          <w:kern w:val="0"/>
          <w:sz w:val="32"/>
          <w:szCs w:val="32"/>
        </w:rPr>
        <w:t>（三）服务期限：</w:t>
      </w:r>
      <w:r>
        <w:rPr>
          <w:rFonts w:ascii="仿宋_GB2312" w:eastAsia="仿宋_GB2312" w:hAnsi="仿宋_GB2312" w:cs="仿宋_GB2312" w:hint="eastAsia"/>
          <w:bCs/>
          <w:kern w:val="0"/>
          <w:sz w:val="32"/>
          <w:szCs w:val="32"/>
        </w:rPr>
        <w:t>具体以合同签订期限为准。</w:t>
      </w:r>
    </w:p>
    <w:p w:rsidR="00F16C86" w:rsidRDefault="00711790">
      <w:pPr>
        <w:pStyle w:val="2"/>
        <w:spacing w:after="0" w:line="560" w:lineRule="exact"/>
        <w:ind w:leftChars="0" w:left="0" w:firstLineChars="200" w:firstLine="640"/>
        <w:rPr>
          <w:rFonts w:ascii="仿宋_GB2312" w:eastAsia="仿宋_GB2312" w:hAnsi="仿宋_GB2312" w:cs="仿宋_GB2312"/>
          <w:bCs/>
          <w:kern w:val="0"/>
          <w:sz w:val="32"/>
          <w:szCs w:val="32"/>
        </w:rPr>
      </w:pPr>
      <w:r>
        <w:rPr>
          <w:rFonts w:ascii="楷体_GB2312" w:eastAsia="楷体_GB2312" w:hAnsi="楷体_GB2312" w:cs="楷体_GB2312" w:hint="eastAsia"/>
          <w:bCs/>
          <w:kern w:val="0"/>
          <w:sz w:val="32"/>
          <w:szCs w:val="32"/>
        </w:rPr>
        <w:t>（四）服务内容</w:t>
      </w:r>
    </w:p>
    <w:p w:rsidR="00F16C86" w:rsidRDefault="00711790">
      <w:pPr>
        <w:pStyle w:val="2"/>
        <w:spacing w:after="0" w:line="560" w:lineRule="exact"/>
        <w:ind w:leftChars="0" w:left="0" w:firstLineChars="200" w:firstLine="640"/>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 xml:space="preserve">1. </w:t>
      </w:r>
      <w:r>
        <w:rPr>
          <w:rFonts w:ascii="仿宋_GB2312" w:eastAsia="仿宋_GB2312" w:hAnsi="仿宋_GB2312" w:cs="仿宋_GB2312" w:hint="eastAsia"/>
          <w:bCs/>
          <w:kern w:val="0"/>
          <w:sz w:val="32"/>
          <w:szCs w:val="32"/>
        </w:rPr>
        <w:t>整体要求</w:t>
      </w:r>
    </w:p>
    <w:p w:rsidR="00F16C86" w:rsidRDefault="00711790">
      <w:pPr>
        <w:pStyle w:val="2"/>
        <w:spacing w:after="0" w:line="560" w:lineRule="exact"/>
        <w:ind w:leftChars="0" w:left="0" w:firstLineChars="200" w:firstLine="640"/>
        <w:rPr>
          <w:rFonts w:ascii="仿宋_GB2312" w:eastAsia="仿宋_GB2312" w:hAnsi="仿宋_GB2312" w:cs="仿宋_GB2312"/>
          <w:sz w:val="32"/>
          <w:szCs w:val="32"/>
        </w:rPr>
      </w:pPr>
      <w:r w:rsidRPr="00140BF5">
        <w:rPr>
          <w:rFonts w:ascii="仿宋_GB2312" w:eastAsia="仿宋_GB2312" w:hAnsi="仿宋_GB2312" w:cs="仿宋_GB2312" w:hint="eastAsia"/>
          <w:sz w:val="32"/>
          <w:szCs w:val="32"/>
        </w:rPr>
        <w:t>杭州</w:t>
      </w:r>
      <w:r w:rsidR="001A2875" w:rsidRPr="00140BF5">
        <w:rPr>
          <w:rFonts w:ascii="仿宋_GB2312" w:eastAsia="仿宋_GB2312" w:hAnsi="仿宋_GB2312" w:cs="仿宋_GB2312" w:hint="eastAsia"/>
          <w:sz w:val="32"/>
          <w:szCs w:val="32"/>
        </w:rPr>
        <w:t>市</w:t>
      </w:r>
      <w:r w:rsidR="001A2875">
        <w:rPr>
          <w:rFonts w:ascii="仿宋_GB2312" w:eastAsia="仿宋_GB2312" w:hAnsi="仿宋_GB2312" w:cs="仿宋_GB2312" w:hint="eastAsia"/>
          <w:sz w:val="32"/>
          <w:szCs w:val="32"/>
        </w:rPr>
        <w:t>农业农村局</w:t>
      </w:r>
      <w:r w:rsidRPr="00140BF5">
        <w:rPr>
          <w:rFonts w:ascii="仿宋_GB2312" w:eastAsia="仿宋_GB2312" w:hAnsi="仿宋_GB2312" w:cs="仿宋_GB2312" w:hint="eastAsia"/>
          <w:sz w:val="32"/>
          <w:szCs w:val="32"/>
        </w:rPr>
        <w:t>为落实杭州市无障碍环境建设领导小组办公室和杭州市数据资源管理局关于《杭州市信息交流无障碍工作方案》的要求，对</w:t>
      </w:r>
      <w:r w:rsidR="006A15E6" w:rsidRPr="00140BF5">
        <w:rPr>
          <w:rFonts w:ascii="仿宋_GB2312" w:eastAsia="仿宋_GB2312" w:hAnsi="仿宋_GB2312" w:cs="仿宋_GB2312" w:hint="eastAsia"/>
          <w:sz w:val="32"/>
          <w:szCs w:val="32"/>
        </w:rPr>
        <w:t>杭州市</w:t>
      </w:r>
      <w:r w:rsidR="006A15E6">
        <w:rPr>
          <w:rFonts w:ascii="仿宋_GB2312" w:eastAsia="仿宋_GB2312" w:hAnsi="仿宋_GB2312" w:cs="仿宋_GB2312" w:hint="eastAsia"/>
          <w:sz w:val="32"/>
          <w:szCs w:val="32"/>
        </w:rPr>
        <w:t>农业农村局</w:t>
      </w:r>
      <w:bookmarkStart w:id="0" w:name="_GoBack"/>
      <w:bookmarkEnd w:id="0"/>
      <w:r w:rsidRPr="00140BF5">
        <w:rPr>
          <w:rFonts w:ascii="仿宋_GB2312" w:eastAsia="仿宋_GB2312" w:hAnsi="仿宋_GB2312" w:cs="仿宋_GB2312" w:hint="eastAsia"/>
          <w:sz w:val="32"/>
          <w:szCs w:val="32"/>
        </w:rPr>
        <w:t>网站进行信息交流无障碍改造，改造目标为国标GB/T37668-2019《信息技术互联网内容无障碍可访问性技术要求与测试方法》中要求的一级标准。</w:t>
      </w:r>
    </w:p>
    <w:p w:rsidR="00F16C86" w:rsidRDefault="00711790">
      <w:pPr>
        <w:pStyle w:val="2"/>
        <w:spacing w:after="0" w:line="56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2. </w:t>
      </w:r>
      <w:r>
        <w:rPr>
          <w:rFonts w:ascii="仿宋_GB2312" w:eastAsia="仿宋_GB2312" w:hAnsi="仿宋_GB2312" w:cs="仿宋_GB2312" w:hint="eastAsia"/>
          <w:sz w:val="32"/>
          <w:szCs w:val="32"/>
        </w:rPr>
        <w:t>测评内容</w:t>
      </w:r>
    </w:p>
    <w:p w:rsidR="00F16C86" w:rsidRPr="00140BF5" w:rsidRDefault="00711790">
      <w:pPr>
        <w:pStyle w:val="2"/>
        <w:spacing w:after="0" w:line="560" w:lineRule="exact"/>
        <w:ind w:leftChars="0" w:left="0" w:firstLineChars="200" w:firstLine="640"/>
        <w:rPr>
          <w:rFonts w:ascii="仿宋_GB2312" w:eastAsia="仿宋_GB2312" w:hAnsi="仿宋_GB2312" w:cs="仿宋_GB2312"/>
          <w:sz w:val="32"/>
          <w:szCs w:val="32"/>
        </w:rPr>
      </w:pPr>
      <w:r w:rsidRPr="00140BF5">
        <w:rPr>
          <w:rFonts w:ascii="仿宋_GB2312" w:eastAsia="仿宋_GB2312" w:hAnsi="仿宋_GB2312" w:cs="仿宋_GB2312" w:hint="eastAsia"/>
          <w:sz w:val="32"/>
          <w:szCs w:val="32"/>
        </w:rPr>
        <w:t>对杭州</w:t>
      </w:r>
      <w:r w:rsidR="001A2875" w:rsidRPr="00140BF5">
        <w:rPr>
          <w:rFonts w:ascii="仿宋_GB2312" w:eastAsia="仿宋_GB2312" w:hAnsi="仿宋_GB2312" w:cs="仿宋_GB2312" w:hint="eastAsia"/>
          <w:sz w:val="32"/>
          <w:szCs w:val="32"/>
        </w:rPr>
        <w:t>市</w:t>
      </w:r>
      <w:r w:rsidR="001A2875">
        <w:rPr>
          <w:rFonts w:ascii="仿宋_GB2312" w:eastAsia="仿宋_GB2312" w:hAnsi="仿宋_GB2312" w:cs="仿宋_GB2312" w:hint="eastAsia"/>
          <w:sz w:val="32"/>
          <w:szCs w:val="32"/>
        </w:rPr>
        <w:t>农业农村局</w:t>
      </w:r>
      <w:r w:rsidRPr="00140BF5">
        <w:rPr>
          <w:rFonts w:ascii="仿宋_GB2312" w:eastAsia="仿宋_GB2312" w:hAnsi="仿宋_GB2312" w:cs="仿宋_GB2312" w:hint="eastAsia"/>
          <w:sz w:val="32"/>
          <w:szCs w:val="32"/>
        </w:rPr>
        <w:t>网站进行信息交流无障碍改造，使其符</w:t>
      </w:r>
      <w:r w:rsidRPr="00140BF5">
        <w:rPr>
          <w:rFonts w:ascii="仿宋_GB2312" w:eastAsia="仿宋_GB2312" w:hAnsi="仿宋_GB2312" w:cs="仿宋_GB2312" w:hint="eastAsia"/>
          <w:sz w:val="32"/>
          <w:szCs w:val="32"/>
        </w:rPr>
        <w:lastRenderedPageBreak/>
        <w:t xml:space="preserve">合国标 GB/T37668-2019《信息技术互联网内容无障碍可访问性技术要求与测试方法》中要求的一级标准。包括可感知性、可操作性、可理解性和兼容性等方面的无障碍要求。 </w:t>
      </w:r>
    </w:p>
    <w:tbl>
      <w:tblPr>
        <w:tblStyle w:val="a6"/>
        <w:tblW w:w="8945" w:type="dxa"/>
        <w:jc w:val="center"/>
        <w:tblLayout w:type="fixed"/>
        <w:tblLook w:val="04A0" w:firstRow="1" w:lastRow="0" w:firstColumn="1" w:lastColumn="0" w:noHBand="0" w:noVBand="1"/>
      </w:tblPr>
      <w:tblGrid>
        <w:gridCol w:w="696"/>
        <w:gridCol w:w="750"/>
        <w:gridCol w:w="1305"/>
        <w:gridCol w:w="660"/>
        <w:gridCol w:w="5534"/>
      </w:tblGrid>
      <w:tr w:rsidR="00F16C86" w:rsidRPr="00140BF5">
        <w:trPr>
          <w:jc w:val="center"/>
        </w:trPr>
        <w:tc>
          <w:tcPr>
            <w:tcW w:w="2751" w:type="dxa"/>
            <w:gridSpan w:val="3"/>
            <w:vAlign w:val="center"/>
          </w:tcPr>
          <w:p w:rsidR="00F16C86" w:rsidRPr="00140BF5" w:rsidRDefault="00711790">
            <w:pPr>
              <w:jc w:val="center"/>
              <w:rPr>
                <w:rFonts w:ascii="宋体" w:eastAsia="宋体" w:hAnsi="宋体" w:cs="宋体"/>
                <w:sz w:val="21"/>
                <w:szCs w:val="21"/>
              </w:rPr>
            </w:pPr>
            <w:r w:rsidRPr="00140BF5">
              <w:rPr>
                <w:rFonts w:ascii="宋体" w:eastAsia="宋体" w:hAnsi="宋体" w:cs="宋体" w:hint="eastAsia"/>
                <w:sz w:val="21"/>
                <w:szCs w:val="21"/>
              </w:rPr>
              <w:t>技术要求</w:t>
            </w:r>
          </w:p>
        </w:tc>
        <w:tc>
          <w:tcPr>
            <w:tcW w:w="660" w:type="dxa"/>
            <w:vMerge w:val="restart"/>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等级</w:t>
            </w:r>
          </w:p>
        </w:tc>
        <w:tc>
          <w:tcPr>
            <w:tcW w:w="5534" w:type="dxa"/>
            <w:vMerge w:val="restart"/>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标准内容</w:t>
            </w:r>
          </w:p>
        </w:tc>
      </w:tr>
      <w:tr w:rsidR="00F16C86" w:rsidRPr="00140BF5">
        <w:trPr>
          <w:jc w:val="center"/>
        </w:trPr>
        <w:tc>
          <w:tcPr>
            <w:tcW w:w="696"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原则</w:t>
            </w:r>
          </w:p>
        </w:tc>
        <w:tc>
          <w:tcPr>
            <w:tcW w:w="75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准则</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指标</w:t>
            </w:r>
          </w:p>
        </w:tc>
        <w:tc>
          <w:tcPr>
            <w:tcW w:w="660" w:type="dxa"/>
            <w:vMerge/>
            <w:vAlign w:val="center"/>
          </w:tcPr>
          <w:p w:rsidR="00F16C86" w:rsidRPr="00140BF5" w:rsidRDefault="00F16C86">
            <w:pPr>
              <w:rPr>
                <w:rFonts w:ascii="宋体" w:eastAsia="宋体" w:hAnsi="宋体" w:cs="宋体"/>
                <w:sz w:val="21"/>
                <w:szCs w:val="21"/>
              </w:rPr>
            </w:pPr>
          </w:p>
        </w:tc>
        <w:tc>
          <w:tcPr>
            <w:tcW w:w="5534" w:type="dxa"/>
            <w:vMerge/>
            <w:vAlign w:val="center"/>
          </w:tcPr>
          <w:p w:rsidR="00F16C86" w:rsidRPr="00140BF5" w:rsidRDefault="00F16C86">
            <w:pPr>
              <w:rPr>
                <w:rFonts w:ascii="宋体" w:eastAsia="宋体" w:hAnsi="宋体" w:cs="宋体"/>
                <w:sz w:val="21"/>
                <w:szCs w:val="21"/>
              </w:rPr>
            </w:pPr>
          </w:p>
        </w:tc>
      </w:tr>
      <w:tr w:rsidR="00F16C86" w:rsidRPr="00140BF5">
        <w:trPr>
          <w:jc w:val="center"/>
        </w:trPr>
        <w:tc>
          <w:tcPr>
            <w:tcW w:w="696" w:type="dxa"/>
            <w:vMerge w:val="restart"/>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可感知性</w:t>
            </w:r>
          </w:p>
        </w:tc>
        <w:tc>
          <w:tcPr>
            <w:tcW w:w="750" w:type="dxa"/>
            <w:vMerge w:val="restart"/>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非文本处理</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验证码</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如果网页或移动应用中存在非文本验证码，则应提供可被不同类型感官（视觉、听觉、触觉等）接受的替代表现形式，以适应不同的残疾人群使用。</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Merge/>
            <w:vAlign w:val="center"/>
          </w:tcPr>
          <w:p w:rsidR="00F16C86" w:rsidRPr="00140BF5" w:rsidRDefault="00F16C86">
            <w:pPr>
              <w:rPr>
                <w:rFonts w:ascii="宋体" w:eastAsia="宋体" w:hAnsi="宋体" w:cs="宋体"/>
                <w:sz w:val="21"/>
                <w:szCs w:val="21"/>
              </w:rPr>
            </w:pP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非文本链接</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如果网页或移动应用内容中存在非文本的链接，应为非文本链接提供替代文本，替代文本应说明链接目的或链接用途。</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Merge/>
            <w:vAlign w:val="center"/>
          </w:tcPr>
          <w:p w:rsidR="00F16C86" w:rsidRPr="00140BF5" w:rsidRDefault="00F16C86">
            <w:pPr>
              <w:rPr>
                <w:rFonts w:ascii="宋体" w:eastAsia="宋体" w:hAnsi="宋体" w:cs="宋体"/>
                <w:sz w:val="21"/>
                <w:szCs w:val="21"/>
              </w:rPr>
            </w:pP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非文本控件</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和移动应用中，如果非文本内容是一个控件或接受用户输入，则应有一个能说明其目的的名称；如果非文本控件在页面局部更新中发生变化，则应说明其目的名称和对于其变化的说明。网页或移动应用内容中存在的非文本控件应具有适合多种残疾人理解和使用的不同形式。</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文本处理</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颜色用途</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在网页和移动应用中，文本颜色不应作为传达信息、表明动作、提示响应等区分视觉元素的唯一手段。</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多媒体处理</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多媒体</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在网页和移动应用中，应为多媒体信息提供概要。</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信息反馈</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提供完整的信息反馈方式</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在网页与移动应用中，用于理解内容和操作内容的表现方式或操作，不应单独依赖于组件的感官特性，如形状、大小、视觉位置、方向或声音。</w:t>
            </w:r>
          </w:p>
        </w:tc>
      </w:tr>
      <w:tr w:rsidR="00F16C86" w:rsidRPr="00140BF5">
        <w:trPr>
          <w:jc w:val="center"/>
        </w:trPr>
        <w:tc>
          <w:tcPr>
            <w:tcW w:w="696" w:type="dxa"/>
            <w:vMerge w:val="restart"/>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可操作性</w:t>
            </w:r>
          </w:p>
        </w:tc>
        <w:tc>
          <w:tcPr>
            <w:tcW w:w="750" w:type="dxa"/>
            <w:vMerge w:val="restart"/>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布局访问</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功能性组件访问</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在移动应用中，所有可见的非纯装饰性组件均可被辅助工具正常访问。在页面局部更新后不可见的组件应不可访问；在页面局部更新后新出现的可见非装饰性组件应能被用户代理正常访问。</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Merge/>
            <w:vAlign w:val="center"/>
          </w:tcPr>
          <w:p w:rsidR="00F16C86" w:rsidRPr="00140BF5" w:rsidRDefault="00F16C86">
            <w:pPr>
              <w:rPr>
                <w:rFonts w:ascii="宋体" w:eastAsia="宋体" w:hAnsi="宋体" w:cs="宋体"/>
                <w:sz w:val="21"/>
                <w:szCs w:val="21"/>
              </w:rPr>
            </w:pP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跳过重复模块</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在网页中，应提供一种机制来跳过在多个页面中反复出现的内容模块（例如：导航栏等）。</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组件聚焦</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非装饰性组件聚焦</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在移动应用中，所有非纯装饰性组件均可被辅助工具正常访问后正常聚焦。在页面局部更新后不可见的组件应不可聚焦；在页面局部更新后新出现的可见非装饰性组件应能被辅助工具正常聚焦。</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Merge w:val="restart"/>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操作控制</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键盘操作</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在网页中，内容的所有功能可通过键盘接口实现操作并且没有对每次键击做特定时限要求。</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Merge/>
            <w:vAlign w:val="center"/>
          </w:tcPr>
          <w:p w:rsidR="00F16C86" w:rsidRPr="00140BF5" w:rsidRDefault="00F16C86">
            <w:pPr>
              <w:rPr>
                <w:rFonts w:ascii="宋体" w:eastAsia="宋体" w:hAnsi="宋体" w:cs="宋体"/>
                <w:sz w:val="21"/>
                <w:szCs w:val="21"/>
              </w:rPr>
            </w:pP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焦点陷入</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在网页中，如果焦点能移到某个组件上，则可以将焦点从该组件上移开；如果除了点击未经更改的方向键、制表键或使用其它标准退出方式之外还需要其他的操作，则应告知用户移开焦点的方法。</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Merge/>
            <w:vAlign w:val="center"/>
          </w:tcPr>
          <w:p w:rsidR="00F16C86" w:rsidRPr="00140BF5" w:rsidRDefault="00F16C86">
            <w:pPr>
              <w:rPr>
                <w:rFonts w:ascii="宋体" w:eastAsia="宋体" w:hAnsi="宋体" w:cs="宋体"/>
                <w:sz w:val="21"/>
                <w:szCs w:val="21"/>
              </w:rPr>
            </w:pP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漂浮窗</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在网页和移动应用中，应提供可访问或可关闭的操作机制。</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Merge/>
            <w:vAlign w:val="center"/>
          </w:tcPr>
          <w:p w:rsidR="00F16C86" w:rsidRPr="00140BF5" w:rsidRDefault="00F16C86">
            <w:pPr>
              <w:rPr>
                <w:rFonts w:ascii="宋体" w:eastAsia="宋体" w:hAnsi="宋体" w:cs="宋体"/>
                <w:sz w:val="21"/>
                <w:szCs w:val="21"/>
              </w:rPr>
            </w:pP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手势操作</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在移动应用中，对用户进行手势导航或者操作的结果提供了反馈提示；在开启无障碍服务功能服务时，原有手势操作仍能工作；如若失效，则应提供相应的替代操作方式。例如，通过音量加减键控制。</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Merge/>
            <w:vAlign w:val="center"/>
          </w:tcPr>
          <w:p w:rsidR="00F16C86" w:rsidRPr="00140BF5" w:rsidRDefault="00F16C86">
            <w:pPr>
              <w:rPr>
                <w:rFonts w:ascii="宋体" w:eastAsia="宋体" w:hAnsi="宋体" w:cs="宋体"/>
                <w:sz w:val="21"/>
                <w:szCs w:val="21"/>
              </w:rPr>
            </w:pP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闪光</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网页和移动应用中，不应包含任何闪光超过3次每秒的内容，或闪光低于一般闪光和红色闪光阈值。</w:t>
            </w:r>
          </w:p>
        </w:tc>
      </w:tr>
      <w:tr w:rsidR="00F16C86" w:rsidRPr="00140BF5">
        <w:trPr>
          <w:trHeight w:val="1377"/>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Merge/>
            <w:vAlign w:val="center"/>
          </w:tcPr>
          <w:p w:rsidR="00F16C86" w:rsidRPr="00140BF5" w:rsidRDefault="00F16C86">
            <w:pPr>
              <w:rPr>
                <w:rFonts w:ascii="宋体" w:eastAsia="宋体" w:hAnsi="宋体" w:cs="宋体"/>
                <w:sz w:val="21"/>
                <w:szCs w:val="21"/>
              </w:rPr>
            </w:pP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焦点顺序</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在网页和移动应用中，如果界面可以进行顺序导航，且导航顺序影响含义和操作，则可聚焦元素应以保持其含义和可操作的顺序获取焦点。</w:t>
            </w:r>
          </w:p>
        </w:tc>
      </w:tr>
      <w:tr w:rsidR="00F16C86" w:rsidRPr="00140BF5">
        <w:trPr>
          <w:jc w:val="center"/>
        </w:trPr>
        <w:tc>
          <w:tcPr>
            <w:tcW w:w="696" w:type="dxa"/>
            <w:vMerge w:val="restart"/>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可理解性</w:t>
            </w:r>
          </w:p>
        </w:tc>
        <w:tc>
          <w:tcPr>
            <w:tcW w:w="750" w:type="dxa"/>
            <w:tcBorders>
              <w:top w:val="single" w:sz="4" w:space="0" w:color="auto"/>
            </w:tcBorders>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内容一致性</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一致的导航</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在同一网站中，网页导航机制应以一致的相对顺序出现，除非用户启动了某种变化。</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tcBorders>
              <w:top w:val="single" w:sz="4" w:space="0" w:color="auto"/>
            </w:tcBorders>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帮助信息</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错误原因提示</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在网页和移动应用中，用户输入的错误信息应该能被自动检测并且应以文本形式向用户描述错误信息。</w:t>
            </w:r>
          </w:p>
        </w:tc>
      </w:tr>
      <w:tr w:rsidR="00F16C86" w:rsidRPr="00140BF5">
        <w:trPr>
          <w:jc w:val="center"/>
        </w:trPr>
        <w:tc>
          <w:tcPr>
            <w:tcW w:w="696" w:type="dxa"/>
            <w:vMerge w:val="restart"/>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兼容性</w:t>
            </w:r>
          </w:p>
        </w:tc>
        <w:tc>
          <w:tcPr>
            <w:tcW w:w="750" w:type="dxa"/>
            <w:vMerge w:val="restart"/>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无障碍兼容性</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辅助技术</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在网页中，不应禁止或限制辅助设备（如读屏软件、点显器、助听器等）的接入与使用。</w:t>
            </w:r>
          </w:p>
        </w:tc>
      </w:tr>
      <w:tr w:rsidR="00F16C86" w:rsidRPr="00140BF5">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Merge/>
            <w:vAlign w:val="center"/>
          </w:tcPr>
          <w:p w:rsidR="00F16C86" w:rsidRPr="00140BF5" w:rsidRDefault="00F16C86">
            <w:pPr>
              <w:rPr>
                <w:rFonts w:ascii="宋体" w:eastAsia="宋体" w:hAnsi="宋体" w:cs="宋体"/>
                <w:sz w:val="21"/>
                <w:szCs w:val="21"/>
              </w:rPr>
            </w:pP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功能性组件功能</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辅助工具开启时，移动应用内容中所有功能性组件均能正常工作：可见链接能正常跳转；按钮可正常访问；输入框能正常进行输入；多媒体能正常播放；在无法按原状态工作情况下，提供等效的方法继续完成功能工作。在页面局部更新后，移动应用内容中新增的功能性组件也应能正常工作。</w:t>
            </w:r>
          </w:p>
        </w:tc>
      </w:tr>
      <w:tr w:rsidR="00F16C86">
        <w:trPr>
          <w:jc w:val="center"/>
        </w:trPr>
        <w:tc>
          <w:tcPr>
            <w:tcW w:w="696" w:type="dxa"/>
            <w:vMerge/>
            <w:vAlign w:val="center"/>
          </w:tcPr>
          <w:p w:rsidR="00F16C86" w:rsidRPr="00140BF5" w:rsidRDefault="00F16C86">
            <w:pPr>
              <w:rPr>
                <w:rFonts w:ascii="宋体" w:eastAsia="宋体" w:hAnsi="宋体" w:cs="宋体"/>
                <w:sz w:val="21"/>
                <w:szCs w:val="21"/>
              </w:rPr>
            </w:pPr>
          </w:p>
        </w:tc>
        <w:tc>
          <w:tcPr>
            <w:tcW w:w="75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用户交互兼容性</w:t>
            </w:r>
          </w:p>
        </w:tc>
        <w:tc>
          <w:tcPr>
            <w:tcW w:w="1305"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用户反馈联络</w:t>
            </w:r>
          </w:p>
        </w:tc>
        <w:tc>
          <w:tcPr>
            <w:tcW w:w="660"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一级</w:t>
            </w:r>
          </w:p>
        </w:tc>
        <w:tc>
          <w:tcPr>
            <w:tcW w:w="5534" w:type="dxa"/>
            <w:vAlign w:val="center"/>
          </w:tcPr>
          <w:p w:rsidR="00F16C86" w:rsidRPr="00140BF5" w:rsidRDefault="00711790">
            <w:pPr>
              <w:rPr>
                <w:rFonts w:ascii="宋体" w:eastAsia="宋体" w:hAnsi="宋体" w:cs="宋体"/>
                <w:sz w:val="21"/>
                <w:szCs w:val="21"/>
              </w:rPr>
            </w:pPr>
            <w:r w:rsidRPr="00140BF5">
              <w:rPr>
                <w:rFonts w:ascii="宋体" w:eastAsia="宋体" w:hAnsi="宋体" w:cs="宋体" w:hint="eastAsia"/>
                <w:sz w:val="21"/>
                <w:szCs w:val="21"/>
              </w:rPr>
              <w:t>在网页和移动应用中，网站预留的联络方式，应支持不同类型人群的使用，帮助用户完成后续的信息交互操作。</w:t>
            </w:r>
          </w:p>
        </w:tc>
      </w:tr>
    </w:tbl>
    <w:p w:rsidR="00F16C86" w:rsidRDefault="00711790">
      <w:pPr>
        <w:pStyle w:val="2"/>
        <w:spacing w:after="0" w:line="560" w:lineRule="exact"/>
        <w:ind w:leftChars="0" w:left="0" w:firstLine="561"/>
        <w:rPr>
          <w:rFonts w:ascii="仿宋_GB2312" w:eastAsia="仿宋_GB2312" w:hAnsi="仿宋_GB2312" w:cs="仿宋_GB2312"/>
          <w:bCs/>
          <w:kern w:val="0"/>
          <w:sz w:val="32"/>
          <w:szCs w:val="32"/>
        </w:rPr>
      </w:pPr>
      <w:r>
        <w:rPr>
          <w:rFonts w:ascii="黑体" w:eastAsia="黑体" w:hAnsi="黑体" w:cs="黑体" w:hint="eastAsia"/>
          <w:bCs/>
          <w:kern w:val="0"/>
          <w:sz w:val="32"/>
          <w:szCs w:val="32"/>
        </w:rPr>
        <w:t>三、报价人资质条件</w:t>
      </w:r>
    </w:p>
    <w:p w:rsidR="00F16C86" w:rsidRPr="00140BF5" w:rsidRDefault="00711790" w:rsidP="00140BF5">
      <w:pPr>
        <w:pStyle w:val="2"/>
        <w:spacing w:after="0" w:line="560" w:lineRule="exact"/>
        <w:ind w:leftChars="0" w:left="0" w:firstLine="660"/>
        <w:rPr>
          <w:rFonts w:ascii="仿宋_GB2312" w:eastAsia="仿宋_GB2312" w:hAnsi="仿宋_GB2312" w:cs="仿宋_GB2312"/>
          <w:bCs/>
          <w:kern w:val="0"/>
          <w:sz w:val="32"/>
          <w:szCs w:val="32"/>
        </w:rPr>
      </w:pPr>
      <w:r w:rsidRPr="00140BF5">
        <w:rPr>
          <w:rFonts w:ascii="仿宋_GB2312" w:eastAsia="仿宋_GB2312" w:hAnsi="仿宋_GB2312" w:cs="仿宋_GB2312" w:hint="eastAsia"/>
          <w:bCs/>
          <w:kern w:val="0"/>
          <w:sz w:val="32"/>
          <w:szCs w:val="32"/>
        </w:rPr>
        <w:lastRenderedPageBreak/>
        <w:t>1.</w:t>
      </w:r>
      <w:r w:rsidRPr="00140BF5">
        <w:rPr>
          <w:rFonts w:ascii="仿宋_GB2312" w:eastAsia="仿宋_GB2312" w:hAnsi="仿宋_GB2312" w:cs="仿宋_GB2312"/>
          <w:bCs/>
          <w:kern w:val="0"/>
          <w:sz w:val="32"/>
          <w:szCs w:val="32"/>
        </w:rPr>
        <w:t>具有独立承担民事责任的能力</w:t>
      </w:r>
      <w:r w:rsidRPr="00140BF5">
        <w:rPr>
          <w:rFonts w:ascii="仿宋_GB2312" w:eastAsia="仿宋_GB2312" w:hAnsi="仿宋_GB2312" w:cs="仿宋_GB2312" w:hint="eastAsia"/>
          <w:bCs/>
          <w:kern w:val="0"/>
          <w:sz w:val="32"/>
          <w:szCs w:val="32"/>
        </w:rPr>
        <w:t>，并且具有信息交流无障碍开发或改造的有关经验。</w:t>
      </w:r>
    </w:p>
    <w:p w:rsidR="00F16C86" w:rsidRPr="00140BF5" w:rsidRDefault="00711790" w:rsidP="00140BF5">
      <w:pPr>
        <w:pStyle w:val="2"/>
        <w:spacing w:after="0" w:line="560" w:lineRule="exact"/>
        <w:ind w:leftChars="0" w:left="0" w:firstLine="660"/>
        <w:rPr>
          <w:rFonts w:ascii="仿宋_GB2312" w:eastAsia="仿宋_GB2312" w:hAnsi="仿宋_GB2312" w:cs="仿宋_GB2312"/>
          <w:bCs/>
          <w:kern w:val="0"/>
          <w:sz w:val="32"/>
          <w:szCs w:val="32"/>
        </w:rPr>
      </w:pPr>
      <w:r w:rsidRPr="00140BF5">
        <w:rPr>
          <w:rFonts w:ascii="仿宋_GB2312" w:eastAsia="仿宋_GB2312" w:hAnsi="仿宋_GB2312" w:cs="仿宋_GB2312" w:hint="eastAsia"/>
          <w:bCs/>
          <w:kern w:val="0"/>
          <w:sz w:val="32"/>
          <w:szCs w:val="32"/>
        </w:rPr>
        <w:t>2.</w:t>
      </w:r>
      <w:r w:rsidRPr="00140BF5">
        <w:rPr>
          <w:rFonts w:ascii="仿宋_GB2312" w:eastAsia="仿宋_GB2312" w:hAnsi="仿宋_GB2312" w:cs="仿宋_GB2312"/>
          <w:bCs/>
          <w:kern w:val="0"/>
          <w:sz w:val="32"/>
          <w:szCs w:val="32"/>
        </w:rPr>
        <w:t>具有履行合同所必需的专业技术能力</w:t>
      </w:r>
      <w:r w:rsidRPr="00140BF5">
        <w:rPr>
          <w:rFonts w:ascii="仿宋_GB2312" w:eastAsia="仿宋_GB2312" w:hAnsi="仿宋_GB2312" w:cs="仿宋_GB2312" w:hint="eastAsia"/>
          <w:bCs/>
          <w:kern w:val="0"/>
          <w:sz w:val="32"/>
          <w:szCs w:val="32"/>
        </w:rPr>
        <w:t>，本项目实施工程师不少于1名，项目经理1名。</w:t>
      </w:r>
    </w:p>
    <w:p w:rsidR="00F16C86" w:rsidRPr="00140BF5" w:rsidRDefault="00711790" w:rsidP="00140BF5">
      <w:pPr>
        <w:pStyle w:val="2"/>
        <w:spacing w:after="0" w:line="560" w:lineRule="exact"/>
        <w:ind w:leftChars="0" w:left="0" w:firstLine="660"/>
        <w:rPr>
          <w:rFonts w:ascii="仿宋_GB2312" w:eastAsia="仿宋_GB2312" w:hAnsi="仿宋_GB2312" w:cs="仿宋_GB2312"/>
          <w:bCs/>
          <w:kern w:val="0"/>
          <w:sz w:val="32"/>
          <w:szCs w:val="32"/>
        </w:rPr>
      </w:pPr>
      <w:r w:rsidRPr="00140BF5">
        <w:rPr>
          <w:rFonts w:ascii="仿宋_GB2312" w:eastAsia="仿宋_GB2312" w:hAnsi="仿宋_GB2312" w:cs="仿宋_GB2312" w:hint="eastAsia"/>
          <w:bCs/>
          <w:kern w:val="0"/>
          <w:sz w:val="32"/>
          <w:szCs w:val="32"/>
        </w:rPr>
        <w:t>3.具备良好的社会信誉，近三年来</w:t>
      </w:r>
      <w:r w:rsidRPr="00140BF5">
        <w:rPr>
          <w:rFonts w:ascii="仿宋_GB2312" w:eastAsia="仿宋_GB2312" w:hAnsi="仿宋_GB2312" w:cs="仿宋_GB2312"/>
          <w:bCs/>
          <w:kern w:val="0"/>
          <w:sz w:val="32"/>
          <w:szCs w:val="32"/>
        </w:rPr>
        <w:t>在经营活动中没有重大违法记录</w:t>
      </w:r>
      <w:r w:rsidRPr="00140BF5">
        <w:rPr>
          <w:rFonts w:ascii="仿宋_GB2312" w:eastAsia="仿宋_GB2312" w:hAnsi="仿宋_GB2312" w:cs="仿宋_GB2312" w:hint="eastAsia"/>
          <w:bCs/>
          <w:kern w:val="0"/>
          <w:sz w:val="32"/>
          <w:szCs w:val="32"/>
        </w:rPr>
        <w:t>。</w:t>
      </w:r>
    </w:p>
    <w:p w:rsidR="00F16C86" w:rsidRDefault="00711790" w:rsidP="00140BF5">
      <w:pPr>
        <w:pStyle w:val="2"/>
        <w:spacing w:after="0" w:line="560" w:lineRule="exact"/>
        <w:ind w:leftChars="0" w:left="0" w:firstLine="660"/>
        <w:rPr>
          <w:rFonts w:ascii="仿宋_GB2312" w:eastAsia="仿宋_GB2312" w:hAnsi="仿宋_GB2312" w:cs="仿宋_GB2312"/>
          <w:sz w:val="32"/>
          <w:szCs w:val="32"/>
          <w:highlight w:val="yellow"/>
        </w:rPr>
      </w:pPr>
      <w:r w:rsidRPr="00140BF5">
        <w:rPr>
          <w:rFonts w:ascii="仿宋_GB2312" w:eastAsia="仿宋_GB2312" w:hAnsi="仿宋_GB2312" w:cs="仿宋_GB2312" w:hint="eastAsia"/>
          <w:bCs/>
          <w:kern w:val="0"/>
          <w:sz w:val="32"/>
          <w:szCs w:val="32"/>
        </w:rPr>
        <w:t>4.本次询价不接受联合体，不接受分包或者转包方式。</w:t>
      </w:r>
    </w:p>
    <w:p w:rsidR="00F16C86" w:rsidRDefault="00711790">
      <w:pPr>
        <w:pStyle w:val="2"/>
        <w:spacing w:after="0" w:line="560" w:lineRule="exact"/>
        <w:ind w:leftChars="0" w:left="0" w:firstLine="660"/>
        <w:rPr>
          <w:rFonts w:ascii="仿宋_GB2312" w:eastAsia="仿宋_GB2312" w:hAnsi="仿宋_GB2312" w:cs="仿宋_GB2312"/>
          <w:bCs/>
          <w:kern w:val="0"/>
          <w:sz w:val="32"/>
          <w:szCs w:val="32"/>
        </w:rPr>
      </w:pPr>
      <w:r>
        <w:rPr>
          <w:rFonts w:ascii="黑体" w:eastAsia="黑体" w:hAnsi="黑体" w:cs="黑体" w:hint="eastAsia"/>
          <w:bCs/>
          <w:kern w:val="0"/>
          <w:sz w:val="32"/>
          <w:szCs w:val="32"/>
        </w:rPr>
        <w:t>四、评标办法</w:t>
      </w:r>
    </w:p>
    <w:p w:rsidR="00F16C86" w:rsidRDefault="00711790">
      <w:pPr>
        <w:pStyle w:val="2"/>
        <w:spacing w:after="0" w:line="560" w:lineRule="exact"/>
        <w:ind w:leftChars="0" w:left="0" w:firstLine="660"/>
        <w:rPr>
          <w:rFonts w:ascii="黑体" w:eastAsia="黑体" w:hAnsi="黑体" w:cs="黑体"/>
          <w:bCs/>
          <w:kern w:val="0"/>
          <w:sz w:val="32"/>
          <w:szCs w:val="32"/>
        </w:rPr>
      </w:pPr>
      <w:r>
        <w:rPr>
          <w:rFonts w:ascii="仿宋_GB2312" w:eastAsia="仿宋_GB2312" w:hAnsi="仿宋_GB2312" w:cs="仿宋_GB2312" w:hint="eastAsia"/>
          <w:bCs/>
          <w:kern w:val="0"/>
          <w:sz w:val="32"/>
          <w:szCs w:val="32"/>
        </w:rPr>
        <w:t>本项目采用最低价中标法。报价单位在符合所有资质条件的前提下，报价最低的单位中标。</w:t>
      </w:r>
    </w:p>
    <w:p w:rsidR="00F16C86" w:rsidRDefault="00711790">
      <w:pPr>
        <w:pStyle w:val="2"/>
        <w:spacing w:after="0" w:line="560" w:lineRule="exact"/>
        <w:ind w:leftChars="0" w:left="0" w:firstLine="660"/>
        <w:rPr>
          <w:rFonts w:ascii="仿宋_GB2312" w:eastAsia="仿宋_GB2312" w:hAnsi="仿宋_GB2312" w:cs="仿宋_GB2312"/>
          <w:bCs/>
          <w:kern w:val="0"/>
          <w:sz w:val="32"/>
          <w:szCs w:val="32"/>
        </w:rPr>
      </w:pPr>
      <w:r>
        <w:rPr>
          <w:rFonts w:ascii="黑体" w:eastAsia="黑体" w:hAnsi="黑体" w:cs="黑体" w:hint="eastAsia"/>
          <w:bCs/>
          <w:kern w:val="0"/>
          <w:sz w:val="32"/>
          <w:szCs w:val="32"/>
        </w:rPr>
        <w:t>五、报价人需要提供的材料</w:t>
      </w:r>
    </w:p>
    <w:p w:rsidR="00F16C86" w:rsidRPr="00140BF5" w:rsidRDefault="00711790" w:rsidP="00140BF5">
      <w:pPr>
        <w:pStyle w:val="2"/>
        <w:spacing w:after="0" w:line="560" w:lineRule="exact"/>
        <w:ind w:leftChars="0" w:left="0" w:firstLine="660"/>
        <w:rPr>
          <w:rFonts w:ascii="仿宋_GB2312" w:eastAsia="仿宋_GB2312" w:hAnsi="仿宋_GB2312" w:cs="仿宋_GB2312"/>
          <w:bCs/>
          <w:kern w:val="0"/>
          <w:sz w:val="32"/>
          <w:szCs w:val="32"/>
        </w:rPr>
      </w:pPr>
      <w:r w:rsidRPr="00140BF5">
        <w:rPr>
          <w:rFonts w:ascii="仿宋_GB2312" w:eastAsia="仿宋_GB2312" w:hAnsi="仿宋_GB2312" w:cs="仿宋_GB2312" w:hint="eastAsia"/>
          <w:bCs/>
          <w:kern w:val="0"/>
          <w:sz w:val="32"/>
          <w:szCs w:val="32"/>
        </w:rPr>
        <w:t>1.供应商营业执照复印件（加盖公章）、授权委托书（加盖公章并由法定代表人签字）、受托人身份证复印件；</w:t>
      </w:r>
    </w:p>
    <w:p w:rsidR="00F16C86" w:rsidRPr="00140BF5" w:rsidRDefault="00711790" w:rsidP="00140BF5">
      <w:pPr>
        <w:pStyle w:val="2"/>
        <w:spacing w:after="0" w:line="560" w:lineRule="exact"/>
        <w:ind w:leftChars="0" w:left="0" w:firstLine="660"/>
        <w:rPr>
          <w:rFonts w:ascii="仿宋_GB2312" w:eastAsia="仿宋_GB2312" w:hAnsi="仿宋_GB2312" w:cs="仿宋_GB2312"/>
          <w:bCs/>
          <w:kern w:val="0"/>
          <w:sz w:val="32"/>
          <w:szCs w:val="32"/>
        </w:rPr>
      </w:pPr>
      <w:r w:rsidRPr="00140BF5">
        <w:rPr>
          <w:rFonts w:ascii="仿宋_GB2312" w:eastAsia="仿宋_GB2312" w:hAnsi="仿宋_GB2312" w:cs="仿宋_GB2312" w:hint="eastAsia"/>
          <w:bCs/>
          <w:kern w:val="0"/>
          <w:sz w:val="32"/>
          <w:szCs w:val="32"/>
        </w:rPr>
        <w:t xml:space="preserve">2.供应商经审计的2019年度财务报告原件，或信用中国的查询记录（加盖公章）； </w:t>
      </w:r>
    </w:p>
    <w:p w:rsidR="00F16C86" w:rsidRPr="00140BF5" w:rsidRDefault="00711790" w:rsidP="00140BF5">
      <w:pPr>
        <w:pStyle w:val="2"/>
        <w:spacing w:after="0" w:line="560" w:lineRule="exact"/>
        <w:ind w:leftChars="0" w:left="0" w:firstLine="660"/>
        <w:rPr>
          <w:rFonts w:ascii="仿宋_GB2312" w:eastAsia="仿宋_GB2312" w:hAnsi="仿宋_GB2312" w:cs="仿宋_GB2312"/>
          <w:bCs/>
          <w:kern w:val="0"/>
          <w:sz w:val="32"/>
          <w:szCs w:val="32"/>
        </w:rPr>
      </w:pPr>
      <w:r w:rsidRPr="00140BF5">
        <w:rPr>
          <w:rFonts w:ascii="仿宋_GB2312" w:eastAsia="仿宋_GB2312" w:hAnsi="仿宋_GB2312" w:cs="仿宋_GB2312" w:hint="eastAsia"/>
          <w:bCs/>
          <w:kern w:val="0"/>
          <w:sz w:val="32"/>
          <w:szCs w:val="32"/>
        </w:rPr>
        <w:t>3.供应商近三年无重大违法记录书面声明原件（加盖公章）；</w:t>
      </w:r>
    </w:p>
    <w:p w:rsidR="00F16C86" w:rsidRPr="00140BF5" w:rsidRDefault="00711790" w:rsidP="00140BF5">
      <w:pPr>
        <w:pStyle w:val="2"/>
        <w:spacing w:after="0" w:line="560" w:lineRule="exact"/>
        <w:ind w:leftChars="0" w:left="0" w:firstLine="660"/>
        <w:rPr>
          <w:rFonts w:ascii="仿宋_GB2312" w:eastAsia="仿宋_GB2312" w:hAnsi="仿宋_GB2312" w:cs="仿宋_GB2312"/>
          <w:bCs/>
          <w:kern w:val="0"/>
          <w:sz w:val="32"/>
          <w:szCs w:val="32"/>
        </w:rPr>
      </w:pPr>
      <w:r w:rsidRPr="00140BF5">
        <w:rPr>
          <w:rFonts w:ascii="仿宋_GB2312" w:eastAsia="仿宋_GB2312" w:hAnsi="仿宋_GB2312" w:cs="仿宋_GB2312" w:hint="eastAsia"/>
          <w:bCs/>
          <w:kern w:val="0"/>
          <w:sz w:val="32"/>
          <w:szCs w:val="32"/>
        </w:rPr>
        <w:t>4.《报价书》原件（加盖公章）。</w:t>
      </w:r>
    </w:p>
    <w:p w:rsidR="00F16C86" w:rsidRDefault="00F16C86">
      <w:pPr>
        <w:pStyle w:val="2"/>
        <w:spacing w:after="0" w:line="560" w:lineRule="exact"/>
        <w:ind w:left="440" w:firstLineChars="1550" w:firstLine="4960"/>
        <w:rPr>
          <w:rFonts w:ascii="仿宋" w:eastAsia="仿宋" w:hAnsi="仿宋" w:cstheme="minorBidi"/>
          <w:kern w:val="0"/>
          <w:sz w:val="32"/>
          <w:szCs w:val="32"/>
        </w:rPr>
      </w:pPr>
    </w:p>
    <w:p w:rsidR="00F16C86" w:rsidRDefault="00711790">
      <w:pPr>
        <w:pStyle w:val="2"/>
        <w:spacing w:after="0" w:line="560" w:lineRule="exact"/>
        <w:ind w:leftChars="0" w:left="0"/>
        <w:jc w:val="center"/>
        <w:rPr>
          <w:rFonts w:ascii="仿宋" w:eastAsia="仿宋" w:hAnsi="仿宋" w:cstheme="minorBidi"/>
          <w:kern w:val="0"/>
          <w:sz w:val="32"/>
          <w:szCs w:val="32"/>
        </w:rPr>
      </w:pPr>
      <w:r>
        <w:rPr>
          <w:rFonts w:ascii="仿宋_GB2312" w:eastAsia="仿宋_GB2312" w:hAnsi="仿宋_GB2312" w:cs="仿宋_GB2312" w:hint="eastAsia"/>
          <w:sz w:val="32"/>
          <w:szCs w:val="32"/>
        </w:rPr>
        <w:t xml:space="preserve">                                        </w:t>
      </w:r>
      <w:r w:rsidR="00140BF5">
        <w:rPr>
          <w:rFonts w:ascii="仿宋_GB2312" w:eastAsia="仿宋_GB2312" w:hAnsi="仿宋_GB2312" w:cs="仿宋_GB2312"/>
          <w:sz w:val="32"/>
          <w:szCs w:val="32"/>
        </w:rPr>
        <w:t>2021</w:t>
      </w:r>
      <w:r>
        <w:rPr>
          <w:rFonts w:ascii="仿宋" w:eastAsia="仿宋" w:hAnsi="仿宋" w:cstheme="minorBidi" w:hint="eastAsia"/>
          <w:kern w:val="0"/>
          <w:sz w:val="32"/>
          <w:szCs w:val="32"/>
        </w:rPr>
        <w:t>年</w:t>
      </w:r>
      <w:r w:rsidR="00140BF5">
        <w:rPr>
          <w:rFonts w:ascii="仿宋" w:eastAsia="仿宋" w:hAnsi="仿宋" w:cstheme="minorBidi"/>
          <w:kern w:val="0"/>
          <w:sz w:val="32"/>
          <w:szCs w:val="32"/>
        </w:rPr>
        <w:t>6</w:t>
      </w:r>
      <w:r>
        <w:rPr>
          <w:rFonts w:ascii="仿宋" w:eastAsia="仿宋" w:hAnsi="仿宋" w:cstheme="minorBidi" w:hint="eastAsia"/>
          <w:kern w:val="0"/>
          <w:sz w:val="32"/>
          <w:szCs w:val="32"/>
        </w:rPr>
        <w:t>月</w:t>
      </w:r>
      <w:r w:rsidR="00140BF5">
        <w:rPr>
          <w:rFonts w:ascii="仿宋" w:eastAsia="仿宋" w:hAnsi="仿宋" w:cstheme="minorBidi"/>
          <w:kern w:val="0"/>
          <w:sz w:val="32"/>
          <w:szCs w:val="32"/>
        </w:rPr>
        <w:t>1</w:t>
      </w:r>
      <w:r>
        <w:rPr>
          <w:rFonts w:ascii="仿宋" w:eastAsia="仿宋" w:hAnsi="仿宋" w:cstheme="minorBidi" w:hint="eastAsia"/>
          <w:kern w:val="0"/>
          <w:sz w:val="32"/>
          <w:szCs w:val="32"/>
        </w:rPr>
        <w:t>日</w:t>
      </w:r>
    </w:p>
    <w:p w:rsidR="00F16C86" w:rsidRDefault="00F16C86"/>
    <w:sectPr w:rsidR="00F16C86">
      <w:pgSz w:w="11906" w:h="16838"/>
      <w:pgMar w:top="2098" w:right="1474" w:bottom="1984" w:left="158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44" w:rsidRDefault="00DC7944" w:rsidP="00140BF5">
      <w:pPr>
        <w:spacing w:after="0"/>
      </w:pPr>
      <w:r>
        <w:separator/>
      </w:r>
    </w:p>
  </w:endnote>
  <w:endnote w:type="continuationSeparator" w:id="0">
    <w:p w:rsidR="00DC7944" w:rsidRDefault="00DC7944" w:rsidP="00140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44" w:rsidRDefault="00DC7944" w:rsidP="00140BF5">
      <w:pPr>
        <w:spacing w:after="0"/>
      </w:pPr>
      <w:r>
        <w:separator/>
      </w:r>
    </w:p>
  </w:footnote>
  <w:footnote w:type="continuationSeparator" w:id="0">
    <w:p w:rsidR="00DC7944" w:rsidRDefault="00DC7944" w:rsidP="00140B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35F05"/>
    <w:rsid w:val="00097593"/>
    <w:rsid w:val="00140BF5"/>
    <w:rsid w:val="00174F91"/>
    <w:rsid w:val="001A2875"/>
    <w:rsid w:val="002C5116"/>
    <w:rsid w:val="0031543B"/>
    <w:rsid w:val="00357901"/>
    <w:rsid w:val="00406F40"/>
    <w:rsid w:val="00410ACC"/>
    <w:rsid w:val="004B4E55"/>
    <w:rsid w:val="004E6019"/>
    <w:rsid w:val="005141D8"/>
    <w:rsid w:val="0057156A"/>
    <w:rsid w:val="005C5836"/>
    <w:rsid w:val="005E5302"/>
    <w:rsid w:val="006A15E6"/>
    <w:rsid w:val="006C226C"/>
    <w:rsid w:val="00711790"/>
    <w:rsid w:val="0072132F"/>
    <w:rsid w:val="00754EA4"/>
    <w:rsid w:val="00815B07"/>
    <w:rsid w:val="00823005"/>
    <w:rsid w:val="008428C3"/>
    <w:rsid w:val="00886162"/>
    <w:rsid w:val="008B2FF3"/>
    <w:rsid w:val="009161B3"/>
    <w:rsid w:val="00920F4C"/>
    <w:rsid w:val="00A15106"/>
    <w:rsid w:val="00A65BDB"/>
    <w:rsid w:val="00AE0B4E"/>
    <w:rsid w:val="00B33666"/>
    <w:rsid w:val="00B34A56"/>
    <w:rsid w:val="00B36F4D"/>
    <w:rsid w:val="00B41975"/>
    <w:rsid w:val="00B42D77"/>
    <w:rsid w:val="00B44C27"/>
    <w:rsid w:val="00B52E61"/>
    <w:rsid w:val="00BD3693"/>
    <w:rsid w:val="00BF0EDA"/>
    <w:rsid w:val="00C219A9"/>
    <w:rsid w:val="00C25A73"/>
    <w:rsid w:val="00C86B1C"/>
    <w:rsid w:val="00D0372D"/>
    <w:rsid w:val="00D554BB"/>
    <w:rsid w:val="00D77690"/>
    <w:rsid w:val="00DC7944"/>
    <w:rsid w:val="00E00739"/>
    <w:rsid w:val="00E20EB9"/>
    <w:rsid w:val="00ED244E"/>
    <w:rsid w:val="00F16C86"/>
    <w:rsid w:val="00F365F9"/>
    <w:rsid w:val="00F7135B"/>
    <w:rsid w:val="00FA7E4B"/>
    <w:rsid w:val="00FD03F8"/>
    <w:rsid w:val="00FE065D"/>
    <w:rsid w:val="14182349"/>
    <w:rsid w:val="16580B47"/>
    <w:rsid w:val="1A54336F"/>
    <w:rsid w:val="1F0707BB"/>
    <w:rsid w:val="24E71036"/>
    <w:rsid w:val="2B002984"/>
    <w:rsid w:val="30011746"/>
    <w:rsid w:val="34A70CBA"/>
    <w:rsid w:val="381C7F1C"/>
    <w:rsid w:val="47135F05"/>
    <w:rsid w:val="52D14C5B"/>
    <w:rsid w:val="57E52964"/>
    <w:rsid w:val="7D4259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D41E9B-7138-4EE5-92D7-2E9C9577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Chars="400" w:left="840"/>
    </w:pPr>
  </w:style>
  <w:style w:type="paragraph" w:styleId="2">
    <w:name w:val="Body Text Indent 2"/>
    <w:basedOn w:val="a"/>
    <w:qFormat/>
    <w:pPr>
      <w:widowControl w:val="0"/>
      <w:adjustRightInd/>
      <w:snapToGrid/>
      <w:spacing w:after="120" w:line="480" w:lineRule="auto"/>
      <w:ind w:leftChars="200" w:left="420"/>
      <w:jc w:val="both"/>
    </w:pPr>
    <w:rPr>
      <w:rFonts w:ascii="Times New Roman" w:eastAsia="宋体" w:hAnsi="Times New Roman" w:cs="Times New Roman"/>
      <w:kern w:val="2"/>
      <w:sz w:val="21"/>
      <w:szCs w:val="24"/>
    </w:rPr>
  </w:style>
  <w:style w:type="paragraph" w:styleId="a3">
    <w:name w:val="Balloon Text"/>
    <w:basedOn w:val="a"/>
    <w:link w:val="Char"/>
    <w:qFormat/>
    <w:pPr>
      <w:spacing w:after="0"/>
    </w:pPr>
    <w:rPr>
      <w:sz w:val="18"/>
      <w:szCs w:val="18"/>
    </w:rPr>
  </w:style>
  <w:style w:type="paragraph" w:styleId="a4">
    <w:name w:val="footer"/>
    <w:basedOn w:val="a"/>
    <w:link w:val="Char0"/>
    <w:qFormat/>
    <w:pPr>
      <w:tabs>
        <w:tab w:val="center" w:pos="4153"/>
        <w:tab w:val="right" w:pos="8306"/>
      </w:tabs>
    </w:pPr>
    <w:rPr>
      <w:sz w:val="18"/>
      <w:szCs w:val="18"/>
    </w:rPr>
  </w:style>
  <w:style w:type="paragraph" w:styleId="a5">
    <w:name w:val="header"/>
    <w:basedOn w:val="a"/>
    <w:link w:val="Char1"/>
    <w:uiPriority w:val="99"/>
    <w:qFormat/>
    <w:pPr>
      <w:pBdr>
        <w:bottom w:val="single" w:sz="6" w:space="1" w:color="auto"/>
      </w:pBdr>
      <w:tabs>
        <w:tab w:val="center" w:pos="4153"/>
        <w:tab w:val="right" w:pos="8306"/>
      </w:tabs>
      <w:jc w:val="center"/>
    </w:pPr>
    <w:rPr>
      <w:sz w:val="18"/>
      <w:szCs w:val="18"/>
    </w:rPr>
  </w:style>
  <w:style w:type="table" w:styleId="a6">
    <w:name w:val="Table Grid"/>
    <w:basedOn w:val="a1"/>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ahoma" w:eastAsia="微软雅黑" w:hAnsi="Tahoma" w:cstheme="minorBidi"/>
      <w:sz w:val="18"/>
      <w:szCs w:val="18"/>
    </w:rPr>
  </w:style>
  <w:style w:type="character" w:customStyle="1" w:styleId="Char0">
    <w:name w:val="页脚 Char"/>
    <w:basedOn w:val="a0"/>
    <w:link w:val="a4"/>
    <w:qFormat/>
    <w:rPr>
      <w:rFonts w:ascii="Tahoma" w:eastAsia="微软雅黑" w:hAnsi="Tahoma" w:cstheme="minorBidi"/>
      <w:sz w:val="18"/>
      <w:szCs w:val="18"/>
    </w:rPr>
  </w:style>
  <w:style w:type="character" w:customStyle="1" w:styleId="Char">
    <w:name w:val="批注框文本 Char"/>
    <w:basedOn w:val="a0"/>
    <w:link w:val="a3"/>
    <w:qFormat/>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366</Words>
  <Characters>2092</Characters>
  <Application>Microsoft Office Word</Application>
  <DocSecurity>0</DocSecurity>
  <Lines>17</Lines>
  <Paragraphs>4</Paragraphs>
  <ScaleCrop>false</ScaleCrop>
  <Company>Microsoft</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cp:lastModifiedBy>
  <cp:revision>9</cp:revision>
  <cp:lastPrinted>2020-08-28T03:59:00Z</cp:lastPrinted>
  <dcterms:created xsi:type="dcterms:W3CDTF">2021-03-17T06:36:00Z</dcterms:created>
  <dcterms:modified xsi:type="dcterms:W3CDTF">2021-06-01T08:38:00Z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